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БУЏЕТ ПРОЈЕКТА</w:t>
      </w:r>
      <w:r w:rsidDel="00000000" w:rsidR="00000000" w:rsidRPr="00000000">
        <w:rPr>
          <w:rtl w:val="0"/>
        </w:rPr>
      </w:r>
    </w:p>
    <w:tbl>
      <w:tblPr>
        <w:tblStyle w:val="Table1"/>
        <w:tblW w:w="1306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85"/>
        <w:gridCol w:w="1350"/>
        <w:gridCol w:w="1260"/>
        <w:gridCol w:w="1440"/>
        <w:gridCol w:w="1530"/>
        <w:tblGridChange w:id="0">
          <w:tblGrid>
            <w:gridCol w:w="7485"/>
            <w:gridCol w:w="1350"/>
            <w:gridCol w:w="1260"/>
            <w:gridCol w:w="1440"/>
            <w:gridCol w:w="1530"/>
          </w:tblGrid>
        </w:tblGridChange>
      </w:tblGrid>
      <w:tr>
        <w:trPr>
          <w:cantSplit w:val="0"/>
          <w:trHeight w:val="1869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Опис трошкова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Јединица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Број јединица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Цена по јединици (у РСД)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Укупно трошкови ( у РСД)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1. Људски ресурси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1.1 Накнаде за пројектни тим (бруто износи)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1.1.1 Вођа пројекта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1.1.2 Административно / помоћно особље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1.2 Накнаде сарадника на пројекту (бруто износ)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1.2.1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1.2.2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vertAlign w:val="baseline"/>
                <w:rtl w:val="0"/>
              </w:rPr>
              <w:t xml:space="preserve">Укупно људски ресурси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2. Трошкови превоза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2.1 Карте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2.2 Путарине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2.3 Гориво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vertAlign w:val="baseline"/>
                <w:rtl w:val="0"/>
              </w:rPr>
              <w:t xml:space="preserve">Укупно превоз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3. Опрема и материјал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3.1 Намештај и друга опрема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3.2 Рачунарска опрема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3.3 Електронска и фотографска опрема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3.4 Комуникациона опрема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3.5 Резервни делови/опрема за машине, алате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3.6 Остали трошкови (наведите)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vertAlign w:val="baseline"/>
                <w:rtl w:val="0"/>
              </w:rPr>
              <w:t xml:space="preserve">Укупно опрема и материјал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4. Локална канцеларија / трошкови пројекта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4.1 Закуп канцеларијског простора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4.2 Канцеларијски материјал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4.3Трошкови комуналних и других услуга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4.3.1 Трошкови фиксне телефоније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4.3.2 Трошкови мобилне телефоније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4.3.3 Трошкови енергетских услуга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4.3.4 Трошкови грејања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4.3.5 Трошкови интернет услуга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4.3.6 Остали трошкови (наведите)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vertAlign w:val="baseline"/>
                <w:rtl w:val="0"/>
              </w:rPr>
              <w:t xml:space="preserve">Укупно трошкови локалне канцеларије/пројекта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5. Остали трошкови/услуге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5.1 Банкарске провизије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5.2 Трошкови отварања рачуна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5.3 Књиговодствени трошкови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месечно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5.4 Трошкови информисања (табла, конференција за штампу, и др.)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vertAlign w:val="baseline"/>
                <w:rtl w:val="0"/>
              </w:rPr>
              <w:t xml:space="preserve">Укупно остали трошкови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969696" w:val="clea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6.  Непланирани трошкови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69696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69696" w:val="clea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69696" w:val="clea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69696" w:val="clea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6.1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6.2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6.3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6.4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vertAlign w:val="baseline"/>
                <w:rtl w:val="0"/>
              </w:rPr>
              <w:t xml:space="preserve">Укупно непланирани трошкови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7. Укупни трошкови пројекта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0"/>
                <w:i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_____________________________________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Потпис овлашћеног лица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Напомена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По потреби, у оквиру сваке ставке можете додавати поља. Број карактера у пољима није ограничен.</w:t>
      </w:r>
    </w:p>
    <w:p w:rsidR="00000000" w:rsidDel="00000000" w:rsidP="00000000" w:rsidRDefault="00000000" w:rsidRPr="00000000" w14:paraId="000000F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656" w:top="165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Буџет мора покрити све прихватљиве трошкове пројекта.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Опис ставки мора бити довољно детаљан и све ставке разврстане у њихове главне компоненте.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Број јединица и цена по јединици морају бити специфицирани за сваку компоненту.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Трошкови људских ресурса не могу бити већи од 30% укупних трошкова пројекта.</w:t>
      </w:r>
    </w:p>
  </w:footnote>
  <w:footnote w:id="1"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Трошкови куповине или изнајмљивања опреме и материјала.</w:t>
      </w:r>
    </w:p>
  </w:footnote>
  <w:footnote w:id="2"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Једини могући трошкови су они за канцеларију која се изнајмљује искључиво за пројекат или се дели са другим текућим пројектима.</w:t>
      </w:r>
    </w:p>
  </w:footnote>
  <w:footnote w:id="3"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Наведите непланиране трошкове. Паушални износи неће бити прихваћени. </w:t>
      </w:r>
    </w:p>
  </w:footnote>
  <w:footnote w:id="4"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Накнаде провизије банке и трошкови отварања рачуна су подобни само ако се финансирају из буџета града/општине.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